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附件一：</w:t>
      </w:r>
    </w:p>
    <w:tbl>
      <w:tblPr>
        <w:tblStyle w:val="3"/>
        <w:tblpPr w:leftFromText="180" w:rightFromText="180" w:vertAnchor="page" w:horzAnchor="page" w:tblpXSpec="center" w:tblpY="2718"/>
        <w:tblOverlap w:val="never"/>
        <w:tblW w:w="76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119"/>
        <w:gridCol w:w="4486"/>
        <w:gridCol w:w="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19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名称</w:t>
            </w:r>
          </w:p>
        </w:tc>
        <w:tc>
          <w:tcPr>
            <w:tcW w:w="1119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功能项</w:t>
            </w:r>
          </w:p>
        </w:tc>
        <w:tc>
          <w:tcPr>
            <w:tcW w:w="448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实现功能描述</w:t>
            </w:r>
          </w:p>
        </w:tc>
        <w:tc>
          <w:tcPr>
            <w:tcW w:w="973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119" w:type="dxa"/>
            <w:vMerge w:val="restart"/>
            <w:noWrap/>
            <w:vAlign w:val="center"/>
          </w:tcPr>
          <w:p>
            <w:pPr>
              <w:spacing w:line="320" w:lineRule="exact"/>
              <w:jc w:val="left"/>
              <w:rPr>
                <w:rFonts w:ascii="黑体" w:hAnsi="黑体" w:eastAsia="黑体" w:cs="仿宋"/>
                <w:sz w:val="18"/>
                <w:szCs w:val="18"/>
              </w:rPr>
            </w:pPr>
            <w:r>
              <w:rPr>
                <w:rFonts w:hint="eastAsia" w:ascii="黑体" w:hAnsi="黑体" w:eastAsia="黑体" w:cs="仿宋"/>
                <w:sz w:val="18"/>
                <w:szCs w:val="18"/>
              </w:rPr>
              <w:t>校园双重预防体系云平台</w:t>
            </w:r>
          </w:p>
          <w:p>
            <w:pPr>
              <w:spacing w:line="320" w:lineRule="exact"/>
              <w:jc w:val="left"/>
              <w:rPr>
                <w:rFonts w:ascii="黑体" w:hAnsi="黑体" w:eastAsia="黑体" w:cs="仿宋"/>
                <w:sz w:val="18"/>
                <w:szCs w:val="18"/>
              </w:rPr>
            </w:pPr>
            <w:r>
              <w:rPr>
                <w:rFonts w:hint="eastAsia" w:ascii="黑体" w:hAnsi="黑体" w:eastAsia="黑体" w:cs="仿宋"/>
                <w:sz w:val="18"/>
                <w:szCs w:val="18"/>
              </w:rPr>
              <w:t>安全专用软件（IOS/Android/Windows）</w:t>
            </w:r>
          </w:p>
        </w:tc>
        <w:tc>
          <w:tcPr>
            <w:tcW w:w="1119" w:type="dxa"/>
            <w:noWrap/>
            <w:vAlign w:val="center"/>
          </w:tcPr>
          <w:p>
            <w:pPr>
              <w:spacing w:line="320" w:lineRule="exact"/>
              <w:jc w:val="left"/>
              <w:rPr>
                <w:rFonts w:ascii="黑体" w:hAnsi="黑体" w:eastAsia="黑体" w:cs="仿宋"/>
                <w:sz w:val="18"/>
                <w:szCs w:val="18"/>
              </w:rPr>
            </w:pPr>
            <w:r>
              <w:rPr>
                <w:rFonts w:hint="eastAsia" w:ascii="黑体" w:hAnsi="黑体" w:eastAsia="黑体" w:cs="仿宋"/>
                <w:sz w:val="18"/>
                <w:szCs w:val="18"/>
              </w:rPr>
              <w:t>基础应用</w:t>
            </w:r>
          </w:p>
        </w:tc>
        <w:tc>
          <w:tcPr>
            <w:tcW w:w="4486" w:type="dxa"/>
            <w:noWrap/>
            <w:vAlign w:val="center"/>
          </w:tcPr>
          <w:p>
            <w:pPr>
              <w:spacing w:line="320" w:lineRule="exact"/>
              <w:jc w:val="left"/>
              <w:rPr>
                <w:rFonts w:ascii="黑体" w:hAnsi="黑体" w:eastAsia="黑体" w:cs="仿宋"/>
                <w:sz w:val="18"/>
                <w:szCs w:val="18"/>
              </w:rPr>
            </w:pPr>
            <w:r>
              <w:rPr>
                <w:rFonts w:hint="eastAsia" w:ascii="黑体" w:hAnsi="黑体" w:eastAsia="黑体" w:cs="仿宋"/>
                <w:sz w:val="18"/>
                <w:szCs w:val="18"/>
              </w:rPr>
              <w:t>提供安全通知、文件上传下达、及时通讯、安全信息等级、分级管控等。</w:t>
            </w:r>
          </w:p>
        </w:tc>
        <w:tc>
          <w:tcPr>
            <w:tcW w:w="973" w:type="dxa"/>
            <w:vMerge w:val="restar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1119" w:type="dxa"/>
            <w:vMerge w:val="continue"/>
            <w:noWrap/>
            <w:vAlign w:val="center"/>
          </w:tcPr>
          <w:p>
            <w:pPr>
              <w:rPr>
                <w:rFonts w:ascii="黑体" w:hAnsi="黑体" w:eastAsia="黑体" w:cs="仿宋"/>
              </w:rPr>
            </w:pPr>
          </w:p>
        </w:tc>
        <w:tc>
          <w:tcPr>
            <w:tcW w:w="1119" w:type="dxa"/>
            <w:noWrap/>
            <w:vAlign w:val="center"/>
          </w:tcPr>
          <w:p>
            <w:pPr>
              <w:spacing w:line="320" w:lineRule="exact"/>
              <w:jc w:val="left"/>
              <w:rPr>
                <w:rFonts w:ascii="黑体" w:hAnsi="黑体" w:eastAsia="黑体" w:cs="仿宋"/>
                <w:sz w:val="18"/>
                <w:szCs w:val="18"/>
              </w:rPr>
            </w:pPr>
            <w:r>
              <w:rPr>
                <w:rFonts w:hint="eastAsia" w:ascii="黑体" w:hAnsi="黑体" w:eastAsia="黑体" w:cs="仿宋"/>
                <w:sz w:val="18"/>
                <w:szCs w:val="18"/>
              </w:rPr>
              <w:t>双重预防</w:t>
            </w:r>
          </w:p>
        </w:tc>
        <w:tc>
          <w:tcPr>
            <w:tcW w:w="4486" w:type="dxa"/>
            <w:noWrap/>
            <w:vAlign w:val="center"/>
          </w:tcPr>
          <w:p>
            <w:pPr>
              <w:spacing w:line="320" w:lineRule="exact"/>
              <w:jc w:val="left"/>
              <w:rPr>
                <w:rFonts w:ascii="黑体" w:hAnsi="黑体" w:eastAsia="黑体" w:cs="仿宋"/>
                <w:sz w:val="18"/>
                <w:szCs w:val="18"/>
              </w:rPr>
            </w:pPr>
            <w:r>
              <w:rPr>
                <w:rFonts w:hint="eastAsia" w:ascii="黑体" w:hAnsi="黑体" w:eastAsia="黑体" w:cs="仿宋"/>
                <w:sz w:val="18"/>
                <w:szCs w:val="18"/>
              </w:rPr>
              <w:t>开展风险辨识、风险分析、风险评估、风险管控应用，开展隐患排查、隐患上报、隐患确认、隐患验收、隐患台账的应用。</w:t>
            </w:r>
          </w:p>
        </w:tc>
        <w:tc>
          <w:tcPr>
            <w:tcW w:w="973" w:type="dxa"/>
            <w:vMerge w:val="continue"/>
            <w:noWrap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119" w:type="dxa"/>
            <w:vMerge w:val="continue"/>
            <w:noWrap/>
            <w:vAlign w:val="center"/>
          </w:tcPr>
          <w:p>
            <w:pPr>
              <w:rPr>
                <w:rFonts w:ascii="黑体" w:hAnsi="黑体" w:eastAsia="黑体" w:cs="仿宋"/>
              </w:rPr>
            </w:pPr>
          </w:p>
        </w:tc>
        <w:tc>
          <w:tcPr>
            <w:tcW w:w="1119" w:type="dxa"/>
            <w:noWrap/>
            <w:vAlign w:val="center"/>
          </w:tcPr>
          <w:p>
            <w:pPr>
              <w:spacing w:line="320" w:lineRule="exact"/>
              <w:jc w:val="left"/>
              <w:rPr>
                <w:rFonts w:ascii="黑体" w:hAnsi="黑体" w:eastAsia="黑体" w:cs="仿宋"/>
                <w:sz w:val="18"/>
                <w:szCs w:val="18"/>
              </w:rPr>
            </w:pPr>
            <w:r>
              <w:rPr>
                <w:rFonts w:hint="eastAsia" w:ascii="黑体" w:hAnsi="黑体" w:eastAsia="黑体" w:cs="仿宋"/>
                <w:sz w:val="18"/>
                <w:szCs w:val="18"/>
              </w:rPr>
              <w:t>安全管理</w:t>
            </w:r>
          </w:p>
        </w:tc>
        <w:tc>
          <w:tcPr>
            <w:tcW w:w="4486" w:type="dxa"/>
            <w:noWrap/>
            <w:vAlign w:val="center"/>
          </w:tcPr>
          <w:p>
            <w:pPr>
              <w:spacing w:line="320" w:lineRule="exact"/>
              <w:jc w:val="left"/>
              <w:rPr>
                <w:rFonts w:ascii="黑体" w:hAnsi="黑体" w:eastAsia="黑体" w:cs="仿宋"/>
                <w:sz w:val="18"/>
                <w:szCs w:val="18"/>
              </w:rPr>
            </w:pPr>
            <w:r>
              <w:rPr>
                <w:rFonts w:hint="eastAsia" w:ascii="黑体" w:hAnsi="黑体" w:eastAsia="黑体" w:cs="仿宋"/>
                <w:sz w:val="18"/>
                <w:szCs w:val="18"/>
              </w:rPr>
              <w:t>开展安全巡检、网络巡查、专项督察、安全制度、值班上报、事故上报等管理功能。</w:t>
            </w:r>
          </w:p>
        </w:tc>
        <w:tc>
          <w:tcPr>
            <w:tcW w:w="973" w:type="dxa"/>
            <w:vMerge w:val="continue"/>
            <w:noWrap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1119" w:type="dxa"/>
            <w:vMerge w:val="continue"/>
            <w:noWrap/>
            <w:vAlign w:val="center"/>
          </w:tcPr>
          <w:p>
            <w:pPr>
              <w:rPr>
                <w:rFonts w:ascii="黑体" w:hAnsi="黑体" w:eastAsia="黑体" w:cs="仿宋"/>
              </w:rPr>
            </w:pPr>
          </w:p>
        </w:tc>
        <w:tc>
          <w:tcPr>
            <w:tcW w:w="1119" w:type="dxa"/>
            <w:noWrap/>
            <w:vAlign w:val="center"/>
          </w:tcPr>
          <w:p>
            <w:pPr>
              <w:spacing w:line="320" w:lineRule="exact"/>
              <w:jc w:val="left"/>
              <w:rPr>
                <w:rFonts w:ascii="黑体" w:hAnsi="黑体" w:eastAsia="黑体" w:cs="仿宋"/>
                <w:sz w:val="18"/>
                <w:szCs w:val="18"/>
              </w:rPr>
            </w:pPr>
            <w:r>
              <w:rPr>
                <w:rFonts w:hint="eastAsia" w:ascii="黑体" w:hAnsi="黑体" w:eastAsia="黑体" w:cs="仿宋"/>
                <w:sz w:val="18"/>
                <w:szCs w:val="18"/>
              </w:rPr>
              <w:t>安全教育</w:t>
            </w:r>
          </w:p>
        </w:tc>
        <w:tc>
          <w:tcPr>
            <w:tcW w:w="4486" w:type="dxa"/>
            <w:noWrap/>
            <w:vAlign w:val="center"/>
          </w:tcPr>
          <w:p>
            <w:pPr>
              <w:spacing w:line="320" w:lineRule="exact"/>
              <w:jc w:val="left"/>
              <w:rPr>
                <w:rFonts w:ascii="黑体" w:hAnsi="黑体" w:eastAsia="黑体" w:cs="仿宋"/>
                <w:sz w:val="18"/>
                <w:szCs w:val="18"/>
              </w:rPr>
            </w:pPr>
            <w:r>
              <w:rPr>
                <w:rFonts w:hint="eastAsia" w:ascii="黑体" w:hAnsi="黑体" w:eastAsia="黑体" w:cs="仿宋"/>
                <w:sz w:val="18"/>
                <w:szCs w:val="18"/>
              </w:rPr>
              <w:t>提供安全教育资源，支持开展安全班班通授课、安全测评等，授课及学习记录自动形成台账，方便学校及教育局安全教学工作及管理；</w:t>
            </w:r>
          </w:p>
        </w:tc>
        <w:tc>
          <w:tcPr>
            <w:tcW w:w="973" w:type="dxa"/>
            <w:vMerge w:val="continue"/>
            <w:noWrap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119" w:type="dxa"/>
            <w:vMerge w:val="continue"/>
            <w:noWrap/>
            <w:vAlign w:val="center"/>
          </w:tcPr>
          <w:p>
            <w:pPr>
              <w:rPr>
                <w:rFonts w:ascii="黑体" w:hAnsi="黑体" w:eastAsia="黑体" w:cs="仿宋"/>
              </w:rPr>
            </w:pPr>
          </w:p>
        </w:tc>
        <w:tc>
          <w:tcPr>
            <w:tcW w:w="1119" w:type="dxa"/>
            <w:noWrap/>
            <w:vAlign w:val="center"/>
          </w:tcPr>
          <w:p>
            <w:pPr>
              <w:spacing w:line="320" w:lineRule="exact"/>
              <w:jc w:val="left"/>
              <w:rPr>
                <w:rFonts w:ascii="黑体" w:hAnsi="黑体" w:eastAsia="黑体" w:cs="仿宋"/>
                <w:sz w:val="18"/>
                <w:szCs w:val="18"/>
              </w:rPr>
            </w:pPr>
            <w:r>
              <w:rPr>
                <w:rFonts w:hint="eastAsia" w:ascii="黑体" w:hAnsi="黑体" w:eastAsia="黑体" w:cs="仿宋"/>
                <w:sz w:val="18"/>
                <w:szCs w:val="18"/>
              </w:rPr>
              <w:t>家校互动</w:t>
            </w:r>
          </w:p>
        </w:tc>
        <w:tc>
          <w:tcPr>
            <w:tcW w:w="4486" w:type="dxa"/>
            <w:noWrap/>
            <w:vAlign w:val="center"/>
          </w:tcPr>
          <w:p>
            <w:pPr>
              <w:spacing w:line="320" w:lineRule="exact"/>
              <w:jc w:val="left"/>
              <w:rPr>
                <w:rFonts w:ascii="黑体" w:hAnsi="黑体" w:eastAsia="黑体" w:cs="仿宋"/>
                <w:sz w:val="18"/>
                <w:szCs w:val="18"/>
              </w:rPr>
            </w:pPr>
            <w:r>
              <w:rPr>
                <w:rFonts w:hint="eastAsia" w:ascii="黑体" w:hAnsi="黑体" w:eastAsia="黑体" w:cs="仿宋"/>
                <w:sz w:val="18"/>
                <w:szCs w:val="18"/>
              </w:rPr>
              <w:t>学校和家长的互动沟通，可以进行日常交流、可以发送学校通知、开展安全教育、发布作业等。</w:t>
            </w:r>
          </w:p>
        </w:tc>
        <w:tc>
          <w:tcPr>
            <w:tcW w:w="973" w:type="dxa"/>
            <w:vMerge w:val="continue"/>
            <w:noWrap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1119" w:type="dxa"/>
            <w:noWrap/>
            <w:vAlign w:val="center"/>
          </w:tcPr>
          <w:p>
            <w:pPr>
              <w:rPr>
                <w:rFonts w:ascii="黑体" w:hAnsi="黑体" w:eastAsia="黑体" w:cs="仿宋"/>
              </w:rPr>
            </w:pPr>
            <w:r>
              <w:rPr>
                <w:rFonts w:hint="eastAsia" w:ascii="黑体" w:hAnsi="黑体" w:eastAsia="黑体" w:cs="仿宋"/>
                <w:sz w:val="18"/>
                <w:szCs w:val="18"/>
              </w:rPr>
              <w:t>双重体系实施</w:t>
            </w:r>
          </w:p>
        </w:tc>
        <w:tc>
          <w:tcPr>
            <w:tcW w:w="1119" w:type="dxa"/>
            <w:noWrap/>
            <w:vAlign w:val="center"/>
          </w:tcPr>
          <w:p>
            <w:pPr>
              <w:spacing w:line="320" w:lineRule="exact"/>
              <w:jc w:val="left"/>
              <w:rPr>
                <w:rFonts w:hint="eastAsia" w:ascii="黑体" w:hAnsi="黑体" w:eastAsia="黑体" w:cs="仿宋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仿宋"/>
                <w:sz w:val="18"/>
                <w:szCs w:val="18"/>
              </w:rPr>
              <w:t>双重体系实施</w:t>
            </w:r>
          </w:p>
        </w:tc>
        <w:tc>
          <w:tcPr>
            <w:tcW w:w="4486" w:type="dxa"/>
            <w:noWrap/>
            <w:vAlign w:val="center"/>
          </w:tcPr>
          <w:p>
            <w:pPr>
              <w:spacing w:line="320" w:lineRule="exact"/>
              <w:jc w:val="left"/>
              <w:rPr>
                <w:rFonts w:hint="eastAsia" w:ascii="黑体" w:hAnsi="黑体" w:eastAsia="黑体" w:cs="仿宋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仿宋"/>
                <w:sz w:val="18"/>
                <w:szCs w:val="18"/>
              </w:rPr>
              <w:t>提供双重知识与技能培训；识别辨识危险源；对风险进行定等级划分，最终输出风险管控清单；根据风险点清单梳理制定巡检点清单；设置巡检点信息，编制隐患排查计划；设计校园四色图及校园风险比较图等；提供双重安全知识及安全应用业务培训；</w:t>
            </w:r>
            <w:r>
              <w:rPr>
                <w:rFonts w:hint="eastAsia" w:ascii="黑体" w:hAnsi="黑体" w:eastAsia="黑体" w:cs="仿宋"/>
                <w:color w:val="000000"/>
                <w:kern w:val="0"/>
                <w:sz w:val="18"/>
                <w:szCs w:val="18"/>
              </w:rPr>
              <w:t>归档双重资料，最终形成省厅要求的“3223”可视化成果，即八本台账；提供</w:t>
            </w:r>
            <w:r>
              <w:rPr>
                <w:rFonts w:hint="eastAsia" w:ascii="黑体" w:hAnsi="黑体" w:eastAsia="黑体" w:cs="仿宋"/>
                <w:sz w:val="18"/>
                <w:szCs w:val="18"/>
              </w:rPr>
              <w:t>双重培训、风险辨识管控及隐患排查辅导（符合省内标准）</w:t>
            </w:r>
            <w:r>
              <w:rPr>
                <w:rFonts w:hint="eastAsia" w:ascii="黑体" w:hAnsi="黑体" w:eastAsia="黑体" w:cs="仿宋"/>
                <w:sz w:val="18"/>
                <w:szCs w:val="18"/>
                <w:lang w:eastAsia="zh-CN"/>
              </w:rPr>
              <w:t>；</w:t>
            </w:r>
          </w:p>
        </w:tc>
        <w:tc>
          <w:tcPr>
            <w:tcW w:w="973" w:type="dxa"/>
            <w:noWrap/>
            <w:vAlign w:val="center"/>
          </w:tcPr>
          <w:p>
            <w:pPr>
              <w:rPr>
                <w:rFonts w:hint="default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1119" w:type="dxa"/>
            <w:noWrap/>
            <w:vAlign w:val="center"/>
          </w:tcPr>
          <w:p>
            <w:pPr>
              <w:rPr>
                <w:rFonts w:hint="eastAsia" w:ascii="黑体" w:hAnsi="黑体" w:eastAsia="黑体" w:cs="仿宋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仿宋"/>
                <w:sz w:val="18"/>
                <w:szCs w:val="18"/>
              </w:rPr>
              <w:t>双重物料</w:t>
            </w:r>
            <w:r>
              <w:rPr>
                <w:rFonts w:hint="eastAsia" w:ascii="黑体" w:hAnsi="黑体" w:eastAsia="黑体" w:cs="仿宋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黑体" w:hAnsi="黑体" w:eastAsia="黑体" w:cs="仿宋"/>
                <w:sz w:val="18"/>
                <w:szCs w:val="18"/>
                <w:lang w:val="en-US" w:eastAsia="zh-CN"/>
              </w:rPr>
              <w:t>0.5mmPVC材质</w:t>
            </w:r>
            <w:r>
              <w:rPr>
                <w:rFonts w:hint="eastAsia" w:ascii="黑体" w:hAnsi="黑体" w:eastAsia="黑体" w:cs="仿宋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19" w:type="dxa"/>
            <w:noWrap/>
            <w:vAlign w:val="center"/>
          </w:tcPr>
          <w:p>
            <w:pPr>
              <w:spacing w:line="320" w:lineRule="exact"/>
              <w:jc w:val="left"/>
              <w:rPr>
                <w:rFonts w:ascii="黑体" w:hAnsi="黑体" w:eastAsia="黑体" w:cs="仿宋"/>
                <w:sz w:val="18"/>
                <w:szCs w:val="18"/>
              </w:rPr>
            </w:pPr>
            <w:r>
              <w:rPr>
                <w:rFonts w:hint="eastAsia" w:ascii="黑体" w:hAnsi="黑体" w:eastAsia="黑体" w:cs="仿宋"/>
                <w:sz w:val="18"/>
                <w:szCs w:val="18"/>
              </w:rPr>
              <w:t>展示、告知</w:t>
            </w:r>
          </w:p>
        </w:tc>
        <w:tc>
          <w:tcPr>
            <w:tcW w:w="4486" w:type="dxa"/>
            <w:noWrap/>
            <w:vAlign w:val="center"/>
          </w:tcPr>
          <w:p>
            <w:pPr>
              <w:spacing w:line="320" w:lineRule="exact"/>
              <w:jc w:val="left"/>
              <w:rPr>
                <w:rFonts w:ascii="黑体" w:hAnsi="黑体" w:eastAsia="黑体" w:cs="仿宋"/>
                <w:sz w:val="18"/>
                <w:szCs w:val="18"/>
              </w:rPr>
            </w:pPr>
            <w:r>
              <w:rPr>
                <w:rFonts w:hint="eastAsia" w:ascii="黑体" w:hAnsi="黑体" w:eastAsia="黑体" w:cs="仿宋"/>
                <w:sz w:val="18"/>
                <w:szCs w:val="18"/>
              </w:rPr>
              <w:t>物料的设计、制作、装订、张贴，巡检牌</w:t>
            </w:r>
            <w:r>
              <w:rPr>
                <w:rFonts w:hint="eastAsia" w:ascii="黑体" w:hAnsi="黑体" w:eastAsia="黑体" w:cs="仿宋"/>
                <w:sz w:val="18"/>
                <w:szCs w:val="18"/>
                <w:lang w:eastAsia="zh-CN"/>
              </w:rPr>
              <w:t>（亚克力</w:t>
            </w:r>
            <w:r>
              <w:rPr>
                <w:rFonts w:hint="eastAsia" w:ascii="黑体" w:hAnsi="黑体" w:eastAsia="黑体" w:cs="仿宋"/>
                <w:sz w:val="18"/>
                <w:szCs w:val="18"/>
                <w:lang w:val="en-US" w:eastAsia="zh-CN"/>
              </w:rPr>
              <w:t>0.3MM</w:t>
            </w:r>
            <w:r>
              <w:rPr>
                <w:rFonts w:hint="eastAsia" w:ascii="黑体" w:hAnsi="黑体" w:eastAsia="黑体" w:cs="仿宋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黑体" w:hAnsi="黑体" w:eastAsia="黑体" w:cs="仿宋"/>
                <w:sz w:val="18"/>
                <w:szCs w:val="18"/>
              </w:rPr>
              <w:t>可通过手机扫描二维码或者利用NFC感应技术可直接对安全关键点进行安全排查，并上报排查结果。</w:t>
            </w:r>
          </w:p>
        </w:tc>
        <w:tc>
          <w:tcPr>
            <w:tcW w:w="973" w:type="dxa"/>
            <w:noWrap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1119" w:type="dxa"/>
            <w:noWrap/>
            <w:vAlign w:val="center"/>
          </w:tcPr>
          <w:p>
            <w:pPr>
              <w:spacing w:line="320" w:lineRule="exact"/>
              <w:jc w:val="left"/>
              <w:rPr>
                <w:rFonts w:hint="eastAsia" w:ascii="微软雅黑" w:eastAsia="微软雅黑"/>
                <w:sz w:val="18"/>
                <w:szCs w:val="18"/>
              </w:rPr>
            </w:pPr>
            <w:r>
              <w:rPr>
                <w:rFonts w:hint="eastAsia" w:ascii="微软雅黑" w:eastAsia="微软雅黑"/>
                <w:sz w:val="18"/>
                <w:szCs w:val="18"/>
              </w:rPr>
              <w:t>视频监控直播设备</w:t>
            </w:r>
          </w:p>
          <w:p>
            <w:pPr>
              <w:rPr>
                <w:rFonts w:hint="eastAsia" w:ascii="黑体" w:hAnsi="黑体" w:eastAsia="黑体" w:cs="仿宋"/>
                <w:sz w:val="18"/>
                <w:szCs w:val="18"/>
                <w:lang w:eastAsia="zh-CN"/>
              </w:rPr>
            </w:pPr>
            <w:r>
              <w:rPr>
                <w:rFonts w:hint="eastAsia" w:ascii="微软雅黑" w:eastAsia="微软雅黑"/>
                <w:sz w:val="18"/>
                <w:szCs w:val="18"/>
              </w:rPr>
              <w:t>A9300-128</w:t>
            </w:r>
          </w:p>
        </w:tc>
        <w:tc>
          <w:tcPr>
            <w:tcW w:w="1119" w:type="dxa"/>
            <w:noWrap/>
            <w:vAlign w:val="center"/>
          </w:tcPr>
          <w:p>
            <w:pPr>
              <w:spacing w:line="320" w:lineRule="exact"/>
              <w:jc w:val="left"/>
              <w:rPr>
                <w:rFonts w:hint="eastAsia" w:ascii="微软雅黑" w:eastAsia="微软雅黑"/>
                <w:sz w:val="18"/>
                <w:szCs w:val="18"/>
              </w:rPr>
            </w:pPr>
            <w:r>
              <w:rPr>
                <w:rFonts w:hint="eastAsia" w:ascii="微软雅黑" w:eastAsia="微软雅黑"/>
                <w:sz w:val="18"/>
                <w:szCs w:val="18"/>
              </w:rPr>
              <w:t>校园直播</w:t>
            </w:r>
          </w:p>
          <w:p>
            <w:pPr>
              <w:spacing w:line="320" w:lineRule="exact"/>
              <w:jc w:val="left"/>
              <w:rPr>
                <w:rFonts w:hint="eastAsia" w:ascii="微软雅黑" w:eastAsia="微软雅黑"/>
                <w:sz w:val="18"/>
                <w:szCs w:val="18"/>
              </w:rPr>
            </w:pPr>
            <w:r>
              <w:rPr>
                <w:rFonts w:hint="eastAsia" w:ascii="微软雅黑" w:eastAsia="微软雅黑"/>
                <w:sz w:val="18"/>
                <w:szCs w:val="18"/>
              </w:rPr>
              <w:t>应急监控</w:t>
            </w:r>
          </w:p>
          <w:p>
            <w:pPr>
              <w:spacing w:line="320" w:lineRule="exact"/>
              <w:jc w:val="left"/>
              <w:rPr>
                <w:rFonts w:hint="eastAsia" w:ascii="黑体" w:hAnsi="黑体" w:eastAsia="黑体" w:cs="仿宋"/>
                <w:sz w:val="18"/>
                <w:szCs w:val="18"/>
                <w:lang w:eastAsia="zh-CN"/>
              </w:rPr>
            </w:pPr>
            <w:r>
              <w:rPr>
                <w:rFonts w:hint="eastAsia" w:ascii="微软雅黑" w:eastAsia="微软雅黑"/>
                <w:sz w:val="18"/>
                <w:szCs w:val="18"/>
              </w:rPr>
              <w:t>云眼监控</w:t>
            </w:r>
          </w:p>
        </w:tc>
        <w:tc>
          <w:tcPr>
            <w:tcW w:w="4486" w:type="dxa"/>
            <w:noWrap/>
            <w:vAlign w:val="center"/>
          </w:tcPr>
          <w:p>
            <w:pPr>
              <w:spacing w:line="320" w:lineRule="exact"/>
              <w:jc w:val="left"/>
              <w:rPr>
                <w:rFonts w:hint="eastAsia" w:ascii="黑体" w:hAnsi="黑体" w:eastAsia="黑体" w:cs="仿宋"/>
                <w:sz w:val="18"/>
                <w:szCs w:val="18"/>
              </w:rPr>
            </w:pPr>
            <w:r>
              <w:rPr>
                <w:rFonts w:hint="eastAsia" w:ascii="微软雅黑" w:eastAsia="微软雅黑"/>
                <w:sz w:val="18"/>
                <w:szCs w:val="18"/>
              </w:rPr>
              <w:t>支持</w:t>
            </w:r>
            <w:r>
              <w:rPr>
                <w:rFonts w:hint="eastAsia" w:ascii="微软雅黑" w:eastAsia="微软雅黑"/>
                <w:sz w:val="18"/>
                <w:szCs w:val="18"/>
                <w:lang w:val="en-US" w:eastAsia="zh-CN"/>
              </w:rPr>
              <w:t>128</w:t>
            </w:r>
            <w:r>
              <w:rPr>
                <w:rFonts w:hint="eastAsia" w:ascii="微软雅黑" w:eastAsia="微软雅黑"/>
                <w:sz w:val="18"/>
                <w:szCs w:val="18"/>
              </w:rPr>
              <w:t>路视频监控接入，将校园视频监控接入云平台，手机端可实时查看监控画面；应急处置中，使用手机摄像头进行现场音视频应急监控，方便领导进行应急指挥。</w:t>
            </w:r>
          </w:p>
        </w:tc>
        <w:tc>
          <w:tcPr>
            <w:tcW w:w="973" w:type="dxa"/>
            <w:noWrap/>
            <w:vAlign w:val="center"/>
          </w:tcPr>
          <w:p>
            <w:pPr>
              <w:rPr>
                <w:rFonts w:hint="default" w:ascii="仿宋" w:hAnsi="仿宋" w:eastAsia="仿宋" w:cs="仿宋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sz w:val="36"/>
          <w:szCs w:val="36"/>
          <w:lang w:val="en-US" w:eastAsia="zh-CN"/>
        </w:rPr>
      </w:pPr>
      <w:bookmarkStart w:id="0" w:name="_GoBack"/>
      <w:r>
        <w:rPr>
          <w:rFonts w:hint="eastAsia"/>
          <w:b/>
          <w:bCs/>
          <w:sz w:val="36"/>
          <w:szCs w:val="36"/>
          <w:lang w:val="en-US" w:eastAsia="zh-CN"/>
        </w:rPr>
        <w:t>许昌市毓秀路小学双重预防体系购买参数清单</w:t>
      </w:r>
      <w:bookmarkEnd w:id="0"/>
    </w:p>
    <w:p/>
    <w:p>
      <w:pPr>
        <w:rPr>
          <w:rFonts w:hint="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E201CD"/>
    <w:rsid w:val="0F8866A6"/>
    <w:rsid w:val="1DF327C6"/>
    <w:rsid w:val="24CD52D0"/>
    <w:rsid w:val="28936972"/>
    <w:rsid w:val="292F52F6"/>
    <w:rsid w:val="30810D4A"/>
    <w:rsid w:val="311B77F3"/>
    <w:rsid w:val="3A975E65"/>
    <w:rsid w:val="3CB21BEB"/>
    <w:rsid w:val="404A7849"/>
    <w:rsid w:val="42007504"/>
    <w:rsid w:val="48F827FF"/>
    <w:rsid w:val="4FAD76E7"/>
    <w:rsid w:val="56394227"/>
    <w:rsid w:val="59D73F5D"/>
    <w:rsid w:val="674019AC"/>
    <w:rsid w:val="6955278B"/>
    <w:rsid w:val="6A555CD6"/>
    <w:rsid w:val="6DE114E9"/>
    <w:rsid w:val="6DF73C5D"/>
    <w:rsid w:val="71F07632"/>
    <w:rsid w:val="7623152D"/>
    <w:rsid w:val="77FB4D93"/>
    <w:rsid w:val="F77BC101"/>
    <w:rsid w:val="FAFF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qFormat/>
    <w:uiPriority w:val="0"/>
    <w:pPr>
      <w:ind w:left="2940"/>
    </w:pPr>
  </w:style>
  <w:style w:type="paragraph" w:styleId="5">
    <w:name w:val="List Paragraph"/>
    <w:next w:val="2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2020-10-31T17:08:00Z</dcterms:created>
  <dc:creator>Administrator</dc:creator>
  <cp:lastModifiedBy>五朵朵</cp:lastModifiedBy>
  <cp:lastPrinted>2021-06-15T15:37:00Z</cp:lastPrinted>
  <dcterms:modified xsi:type="dcterms:W3CDTF">2021-06-16T09:07:10Z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A3393CCEAEE34611AABCE056FA3DB91A</vt:lpwstr>
  </property>
</Properties>
</file>